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59E7D1" w14:textId="77777777" w:rsidR="00B90FDA" w:rsidRDefault="00B90FDA" w:rsidP="00793D41">
      <w:pPr>
        <w:shd w:val="clear" w:color="auto" w:fill="FFFFFF"/>
        <w:outlineLvl w:val="0"/>
        <w:rPr>
          <w:rFonts w:ascii="Tahoma" w:eastAsia="Times New Roman" w:hAnsi="Tahoma" w:cs="Tahoma"/>
          <w:b/>
          <w:bCs/>
          <w:kern w:val="36"/>
          <w:lang w:val="es-ES_tradnl"/>
        </w:rPr>
      </w:pPr>
    </w:p>
    <w:p w14:paraId="2C1F2740" w14:textId="77777777" w:rsidR="00793D41" w:rsidRPr="00793D41" w:rsidRDefault="00793D41" w:rsidP="00793D41">
      <w:pPr>
        <w:shd w:val="clear" w:color="auto" w:fill="FFFFFF"/>
        <w:outlineLvl w:val="0"/>
        <w:rPr>
          <w:rFonts w:ascii="Tahoma" w:eastAsia="Times New Roman" w:hAnsi="Tahoma" w:cs="Tahoma"/>
          <w:b/>
          <w:bCs/>
          <w:kern w:val="36"/>
          <w:lang w:val="es-ES_tradnl"/>
        </w:rPr>
      </w:pPr>
      <w:bookmarkStart w:id="0" w:name="_GoBack"/>
      <w:bookmarkEnd w:id="0"/>
      <w:r w:rsidRPr="00793D41">
        <w:rPr>
          <w:rFonts w:ascii="Tahoma" w:eastAsia="Times New Roman" w:hAnsi="Tahoma" w:cs="Tahoma"/>
          <w:b/>
          <w:bCs/>
          <w:kern w:val="36"/>
          <w:lang w:val="es-ES_tradnl"/>
        </w:rPr>
        <w:t>BID lanza Gobernarte 2014 para premiar uso de tecnología para la inclusión social</w:t>
      </w:r>
    </w:p>
    <w:p w14:paraId="42319280" w14:textId="77777777" w:rsidR="00793D41" w:rsidRPr="00793D41" w:rsidRDefault="00793D41" w:rsidP="00793D41">
      <w:pPr>
        <w:shd w:val="clear" w:color="auto" w:fill="FFFFFF"/>
        <w:outlineLvl w:val="0"/>
        <w:rPr>
          <w:rFonts w:ascii="Tahoma" w:eastAsia="Times New Roman" w:hAnsi="Tahoma" w:cs="Tahoma"/>
          <w:b/>
          <w:bCs/>
          <w:color w:val="666666"/>
          <w:kern w:val="36"/>
          <w:lang w:val="es-ES_tradnl"/>
        </w:rPr>
      </w:pPr>
    </w:p>
    <w:p w14:paraId="02CE0096" w14:textId="77777777" w:rsidR="00793D41" w:rsidRPr="00793D41" w:rsidRDefault="00793D41" w:rsidP="00793D41">
      <w:pPr>
        <w:pStyle w:val="ListParagraph"/>
        <w:numPr>
          <w:ilvl w:val="0"/>
          <w:numId w:val="2"/>
        </w:numPr>
        <w:shd w:val="clear" w:color="auto" w:fill="FFFFFF"/>
        <w:spacing w:after="270" w:line="360" w:lineRule="atLeast"/>
        <w:jc w:val="center"/>
        <w:rPr>
          <w:rFonts w:ascii="Tahoma" w:hAnsi="Tahoma" w:cs="Tahoma"/>
          <w:i/>
          <w:lang w:val="es-ES_tradnl"/>
        </w:rPr>
      </w:pPr>
      <w:r w:rsidRPr="00793D41">
        <w:rPr>
          <w:rFonts w:ascii="Tahoma" w:hAnsi="Tahoma" w:cs="Tahoma"/>
          <w:bCs/>
          <w:i/>
          <w:lang w:val="es-ES_tradnl"/>
        </w:rPr>
        <w:t>Estados, provincias, departamentos y municipios en alianza con el sector privado o la sociedad civil podrán postularse a una de las 4 categorías del Premio</w:t>
      </w:r>
    </w:p>
    <w:p w14:paraId="33F923EE" w14:textId="77777777" w:rsidR="00793D41" w:rsidRPr="00793D41" w:rsidRDefault="00793D41" w:rsidP="00793D41">
      <w:pPr>
        <w:shd w:val="clear" w:color="auto" w:fill="FFFFFF"/>
        <w:spacing w:after="270" w:line="360" w:lineRule="atLeast"/>
        <w:rPr>
          <w:rFonts w:ascii="Tahoma" w:hAnsi="Tahoma" w:cs="Tahoma"/>
          <w:lang w:val="es-ES_tradnl"/>
        </w:rPr>
      </w:pPr>
      <w:r w:rsidRPr="00793D41">
        <w:rPr>
          <w:rFonts w:ascii="Tahoma" w:hAnsi="Tahoma" w:cs="Tahoma"/>
          <w:lang w:val="es-ES_tradnl"/>
        </w:rPr>
        <w:t>El Banco Interamericano de Desarrollo (</w:t>
      </w:r>
      <w:hyperlink r:id="rId8" w:history="1">
        <w:r w:rsidRPr="00793D41">
          <w:rPr>
            <w:rFonts w:ascii="Tahoma" w:hAnsi="Tahoma" w:cs="Tahoma"/>
            <w:u w:val="single"/>
            <w:lang w:val="es-ES_tradnl"/>
          </w:rPr>
          <w:t>BID</w:t>
        </w:r>
      </w:hyperlink>
      <w:r w:rsidRPr="00793D41">
        <w:rPr>
          <w:rFonts w:ascii="Tahoma" w:hAnsi="Tahoma" w:cs="Tahoma"/>
          <w:lang w:val="es-ES_tradnl"/>
        </w:rPr>
        <w:t>) lanzó la segunda edición del concurso “</w:t>
      </w:r>
      <w:hyperlink r:id="rId9" w:history="1">
        <w:r w:rsidRPr="00793D41">
          <w:rPr>
            <w:rFonts w:ascii="Tahoma" w:hAnsi="Tahoma" w:cs="Tahoma"/>
            <w:u w:val="single"/>
            <w:lang w:val="es-ES_tradnl"/>
          </w:rPr>
          <w:t>Gobernarte: El Arte del Buen Gobierno</w:t>
        </w:r>
      </w:hyperlink>
      <w:r w:rsidRPr="00793D41">
        <w:rPr>
          <w:rFonts w:ascii="Tahoma" w:hAnsi="Tahoma" w:cs="Tahoma"/>
          <w:lang w:val="es-ES_tradnl"/>
        </w:rPr>
        <w:t>”, que premiará las mejores iniciativas que a hayan incrementado el acceso de poblaciones vulnerables a servicios públicostravés de medios digitales como redes sociales, telefonía móvil, aplicaciones Web y otras soluciones tecnológicas.</w:t>
      </w:r>
    </w:p>
    <w:p w14:paraId="77E42618" w14:textId="77777777" w:rsidR="00793D41" w:rsidRPr="00793D41" w:rsidRDefault="00793D41" w:rsidP="00793D41">
      <w:pPr>
        <w:shd w:val="clear" w:color="auto" w:fill="FFFFFF"/>
        <w:spacing w:after="270" w:line="360" w:lineRule="atLeast"/>
        <w:rPr>
          <w:rFonts w:ascii="Tahoma" w:hAnsi="Tahoma" w:cs="Tahoma"/>
          <w:lang w:val="es-ES_tradnl"/>
        </w:rPr>
      </w:pPr>
      <w:r w:rsidRPr="00793D41">
        <w:rPr>
          <w:rFonts w:ascii="Tahoma" w:hAnsi="Tahoma" w:cs="Tahoma"/>
          <w:lang w:val="es-ES_tradnl"/>
        </w:rPr>
        <w:t>El premio busca identificar, premiar, documentar y difundir iniciativas que hayan sido generadas por alianzas entre gobiernos subnacionales y empresas del sector privado o la sociedad civil promoviendo nuevas formas de inclusión social a través de medios digitales en una de las siguientes categorías:</w:t>
      </w:r>
    </w:p>
    <w:p w14:paraId="06966640" w14:textId="77777777" w:rsidR="00793D41" w:rsidRPr="00793D41" w:rsidRDefault="00793D41" w:rsidP="00793D41">
      <w:pPr>
        <w:numPr>
          <w:ilvl w:val="0"/>
          <w:numId w:val="1"/>
        </w:numPr>
        <w:shd w:val="clear" w:color="auto" w:fill="FFFFFF"/>
        <w:spacing w:before="90" w:line="312" w:lineRule="atLeast"/>
        <w:ind w:left="585"/>
        <w:rPr>
          <w:rFonts w:ascii="Tahoma" w:eastAsia="Times New Roman" w:hAnsi="Tahoma" w:cs="Tahoma"/>
          <w:lang w:val="es-ES_tradnl"/>
        </w:rPr>
      </w:pPr>
      <w:r w:rsidRPr="00793D41">
        <w:rPr>
          <w:rFonts w:ascii="Tahoma" w:eastAsia="Times New Roman" w:hAnsi="Tahoma" w:cs="Tahoma"/>
          <w:lang w:val="es-ES_tradnl"/>
        </w:rPr>
        <w:t>Categoría 1:  Alianza con la sociedad civil a nivel provincial, departamental, regional o estatal (segundo nivel administrativo)</w:t>
      </w:r>
    </w:p>
    <w:p w14:paraId="52DD5EB8" w14:textId="77777777" w:rsidR="00793D41" w:rsidRPr="00793D41" w:rsidRDefault="00793D41" w:rsidP="00793D41">
      <w:pPr>
        <w:numPr>
          <w:ilvl w:val="0"/>
          <w:numId w:val="1"/>
        </w:numPr>
        <w:shd w:val="clear" w:color="auto" w:fill="FFFFFF"/>
        <w:spacing w:before="90" w:line="312" w:lineRule="atLeast"/>
        <w:ind w:left="585"/>
        <w:rPr>
          <w:rFonts w:ascii="Tahoma" w:eastAsia="Times New Roman" w:hAnsi="Tahoma" w:cs="Tahoma"/>
          <w:lang w:val="es-ES_tradnl"/>
        </w:rPr>
      </w:pPr>
      <w:r w:rsidRPr="00793D41">
        <w:rPr>
          <w:rFonts w:ascii="Tahoma" w:eastAsia="Times New Roman" w:hAnsi="Tahoma" w:cs="Tahoma"/>
          <w:lang w:val="es-ES_tradnl"/>
        </w:rPr>
        <w:t>Categoría 2:  Alianza con la sociedad civil a nivel municipal (tercer nivel administrativo)</w:t>
      </w:r>
    </w:p>
    <w:p w14:paraId="11879EE6" w14:textId="77777777" w:rsidR="00793D41" w:rsidRPr="00793D41" w:rsidRDefault="00793D41" w:rsidP="00793D41">
      <w:pPr>
        <w:numPr>
          <w:ilvl w:val="0"/>
          <w:numId w:val="1"/>
        </w:numPr>
        <w:shd w:val="clear" w:color="auto" w:fill="FFFFFF"/>
        <w:spacing w:before="90" w:line="312" w:lineRule="atLeast"/>
        <w:ind w:left="585"/>
        <w:rPr>
          <w:rFonts w:ascii="Tahoma" w:eastAsia="Times New Roman" w:hAnsi="Tahoma" w:cs="Tahoma"/>
          <w:lang w:val="es-ES_tradnl"/>
        </w:rPr>
      </w:pPr>
      <w:r w:rsidRPr="00793D41">
        <w:rPr>
          <w:rFonts w:ascii="Tahoma" w:eastAsia="Times New Roman" w:hAnsi="Tahoma" w:cs="Tahoma"/>
          <w:lang w:val="es-ES_tradnl"/>
        </w:rPr>
        <w:t>Categoría 3:  Alianza con el sector privado a nivel provincial, departamental o estatal (segundo nivel administrativo)</w:t>
      </w:r>
    </w:p>
    <w:p w14:paraId="1AE7A02B" w14:textId="77777777" w:rsidR="00793D41" w:rsidRPr="00793D41" w:rsidRDefault="00793D41" w:rsidP="00793D41">
      <w:pPr>
        <w:numPr>
          <w:ilvl w:val="0"/>
          <w:numId w:val="1"/>
        </w:numPr>
        <w:shd w:val="clear" w:color="auto" w:fill="FFFFFF"/>
        <w:spacing w:before="90" w:line="312" w:lineRule="atLeast"/>
        <w:ind w:left="585"/>
        <w:rPr>
          <w:rFonts w:ascii="Tahoma" w:eastAsia="Times New Roman" w:hAnsi="Tahoma" w:cs="Tahoma"/>
          <w:lang w:val="es-ES_tradnl"/>
        </w:rPr>
      </w:pPr>
      <w:r w:rsidRPr="00793D41">
        <w:rPr>
          <w:rFonts w:ascii="Tahoma" w:eastAsia="Times New Roman" w:hAnsi="Tahoma" w:cs="Tahoma"/>
          <w:lang w:val="es-ES_tradnl"/>
        </w:rPr>
        <w:t>Categoría 4:  Alianza con el sector privado a nivel municipal (tercer nivel administrativo) </w:t>
      </w:r>
    </w:p>
    <w:p w14:paraId="42F85774" w14:textId="77777777" w:rsidR="00793D41" w:rsidRPr="00793D41" w:rsidRDefault="00793D41" w:rsidP="00793D41">
      <w:pPr>
        <w:shd w:val="clear" w:color="auto" w:fill="FFFFFF"/>
        <w:spacing w:after="270" w:line="360" w:lineRule="atLeast"/>
        <w:rPr>
          <w:rFonts w:ascii="Tahoma" w:hAnsi="Tahoma" w:cs="Tahoma"/>
          <w:lang w:val="es-ES_tradnl"/>
        </w:rPr>
      </w:pPr>
      <w:r w:rsidRPr="00793D41">
        <w:rPr>
          <w:rFonts w:ascii="Tahoma" w:hAnsi="Tahoma" w:cs="Tahoma"/>
          <w:lang w:val="es-ES_tradnl"/>
        </w:rPr>
        <w:t>Las propuestas podrán ser postuladas hasta el 30 de septiembre de 2014 en el sitio web de Gobernarte </w:t>
      </w:r>
      <w:hyperlink r:id="rId10" w:history="1">
        <w:r w:rsidRPr="00793D41">
          <w:rPr>
            <w:rFonts w:ascii="Tahoma" w:hAnsi="Tahoma" w:cs="Tahoma"/>
            <w:u w:val="single"/>
            <w:lang w:val="es-ES_tradnl"/>
          </w:rPr>
          <w:t>www.iadb.org/gobernarte</w:t>
        </w:r>
      </w:hyperlink>
      <w:r w:rsidRPr="00793D41">
        <w:rPr>
          <w:rFonts w:ascii="Tahoma" w:hAnsi="Tahoma" w:cs="Tahoma"/>
          <w:lang w:val="es-ES_tradnl"/>
        </w:rPr>
        <w:t>. Un panel de expertos de reconocido conocimiento técnico internacional y la comunidad a través de votaciones en línea, seleccionará a los ganadores de cada categoría.</w:t>
      </w:r>
    </w:p>
    <w:p w14:paraId="4C3FE212" w14:textId="77777777" w:rsidR="00793D41" w:rsidRPr="00793D41" w:rsidRDefault="00793D41" w:rsidP="00793D41">
      <w:pPr>
        <w:shd w:val="clear" w:color="auto" w:fill="FFFFFF"/>
        <w:spacing w:after="270" w:line="360" w:lineRule="atLeast"/>
        <w:rPr>
          <w:rFonts w:ascii="Tahoma" w:hAnsi="Tahoma" w:cs="Tahoma"/>
          <w:lang w:val="es-ES_tradnl"/>
        </w:rPr>
      </w:pPr>
      <w:r w:rsidRPr="00793D41">
        <w:rPr>
          <w:rFonts w:ascii="Tahoma" w:hAnsi="Tahoma" w:cs="Tahoma"/>
          <w:lang w:val="es-ES_tradnl"/>
        </w:rPr>
        <w:t xml:space="preserve">Pueden postular iniciativas los gobiernos de segundo nivel administrativo (estados, provincias, departamentos, o sus equivalentes) y los municipios o gobiernos locales (tercer nivel administrativo) de países prestatarios del Banco en alianza con representantes de la sociedad civil y/o del sector privado. Las ciudades con estatus de Ciudades y Estados/Provincias (por </w:t>
      </w:r>
      <w:r w:rsidRPr="00793D41">
        <w:rPr>
          <w:rFonts w:ascii="Tahoma" w:hAnsi="Tahoma" w:cs="Tahoma"/>
          <w:lang w:val="es-ES_tradnl"/>
        </w:rPr>
        <w:lastRenderedPageBreak/>
        <w:t>ejemplo, Buenos Aires, Brasilia y México DF) podrán postular a la categoría de segundo nivel administrativo.</w:t>
      </w:r>
    </w:p>
    <w:p w14:paraId="49D099B7" w14:textId="77777777" w:rsidR="00793D41" w:rsidRPr="00793D41" w:rsidRDefault="00793D41" w:rsidP="00793D41">
      <w:pPr>
        <w:shd w:val="clear" w:color="auto" w:fill="FFFFFF"/>
        <w:spacing w:after="270" w:line="360" w:lineRule="atLeast"/>
        <w:rPr>
          <w:rFonts w:ascii="Tahoma" w:hAnsi="Tahoma" w:cs="Tahoma"/>
          <w:lang w:val="es-ES_tradnl"/>
        </w:rPr>
      </w:pPr>
      <w:r w:rsidRPr="00793D41">
        <w:rPr>
          <w:rFonts w:ascii="Tahoma" w:hAnsi="Tahoma" w:cs="Tahoma"/>
          <w:lang w:val="es-ES_tradnl"/>
        </w:rPr>
        <w:t>Las experiencias a postular deben ser presentadas por los equipos que las han diseñado e implementado directamente, estableciendo como contacto una persona del Gobierno y otra persona de la contraparte en el sector privado y/o sociedad civil según sea la categoría.</w:t>
      </w:r>
    </w:p>
    <w:p w14:paraId="62A5DEC4" w14:textId="77777777" w:rsidR="00793D41" w:rsidRPr="00793D41" w:rsidRDefault="00793D41" w:rsidP="00793D41">
      <w:pPr>
        <w:shd w:val="clear" w:color="auto" w:fill="FFFFFF"/>
        <w:spacing w:after="270" w:line="360" w:lineRule="atLeast"/>
        <w:rPr>
          <w:rFonts w:ascii="Tahoma" w:hAnsi="Tahoma" w:cs="Tahoma"/>
          <w:lang w:val="es-ES_tradnl"/>
        </w:rPr>
      </w:pPr>
      <w:r w:rsidRPr="00793D41">
        <w:rPr>
          <w:rFonts w:ascii="Tahoma" w:hAnsi="Tahoma" w:cs="Tahoma"/>
          <w:lang w:val="es-ES_tradnl"/>
        </w:rPr>
        <w:t>Los requisitos y bases del Premio se encuentran en el sitio Web del concurso Gobernarte</w:t>
      </w:r>
      <w:hyperlink r:id="rId11" w:history="1">
        <w:r w:rsidRPr="00793D41">
          <w:rPr>
            <w:rFonts w:ascii="Tahoma" w:hAnsi="Tahoma" w:cs="Tahoma"/>
            <w:u w:val="single"/>
            <w:lang w:val="es-ES_tradnl"/>
          </w:rPr>
          <w:t>www.iadb.org/gobernarte</w:t>
        </w:r>
      </w:hyperlink>
      <w:r w:rsidRPr="00793D41">
        <w:rPr>
          <w:rFonts w:ascii="Tahoma" w:hAnsi="Tahoma" w:cs="Tahoma"/>
          <w:lang w:val="es-ES_tradnl"/>
        </w:rPr>
        <w:t>. Las consultas pueden realizarse escribiendo al correo electrónico</w:t>
      </w:r>
      <w:hyperlink r:id="rId12" w:history="1">
        <w:r w:rsidRPr="00793D41">
          <w:rPr>
            <w:rFonts w:ascii="Tahoma" w:hAnsi="Tahoma" w:cs="Tahoma"/>
            <w:u w:val="single"/>
            <w:lang w:val="es-ES_tradnl"/>
          </w:rPr>
          <w:t>gobernarte@iadb.org</w:t>
        </w:r>
      </w:hyperlink>
      <w:r w:rsidRPr="00793D41">
        <w:rPr>
          <w:rFonts w:ascii="Tahoma" w:hAnsi="Tahoma" w:cs="Tahoma"/>
          <w:lang w:val="es-ES_tradnl"/>
        </w:rPr>
        <w:t>.</w:t>
      </w:r>
    </w:p>
    <w:p w14:paraId="105FE484" w14:textId="77777777" w:rsidR="00793D41" w:rsidRPr="00793D41" w:rsidRDefault="00793D41" w:rsidP="00793D41">
      <w:pPr>
        <w:shd w:val="clear" w:color="auto" w:fill="FFFFFF"/>
        <w:spacing w:after="270" w:line="360" w:lineRule="atLeast"/>
        <w:rPr>
          <w:rFonts w:ascii="Tahoma" w:hAnsi="Tahoma" w:cs="Tahoma"/>
          <w:lang w:val="es-ES_tradnl"/>
        </w:rPr>
      </w:pPr>
      <w:r w:rsidRPr="00793D41">
        <w:rPr>
          <w:rFonts w:ascii="Tahoma" w:hAnsi="Tahoma" w:cs="Tahoma"/>
          <w:lang w:val="es-ES_tradnl"/>
        </w:rPr>
        <w:t>El panel anunciará los ganadores el 1 de diciembre y luego el BID documentará las innovaciones ganadoras de Gobernarte y llevará a cabo una campaña de difusión de las mismas. La documentación estará disponible en la Web. La ceremonia de premiación está contemplada para el primer trimestre del 2015.</w:t>
      </w:r>
    </w:p>
    <w:p w14:paraId="49CE513A" w14:textId="77777777" w:rsidR="00D03536" w:rsidRPr="00793D41" w:rsidRDefault="00D03536">
      <w:pPr>
        <w:rPr>
          <w:rFonts w:ascii="Tahoma" w:hAnsi="Tahoma" w:cs="Tahoma"/>
        </w:rPr>
      </w:pPr>
    </w:p>
    <w:sectPr w:rsidR="00D03536" w:rsidRPr="00793D41" w:rsidSect="00632A67">
      <w:headerReference w:type="default" r:id="rId13"/>
      <w:footerReference w:type="default" r:id="rId14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0A8B98" w14:textId="77777777" w:rsidR="00B90FDA" w:rsidRDefault="00B90FDA" w:rsidP="00B90FDA">
      <w:r>
        <w:separator/>
      </w:r>
    </w:p>
  </w:endnote>
  <w:endnote w:type="continuationSeparator" w:id="0">
    <w:p w14:paraId="70DD9953" w14:textId="77777777" w:rsidR="00B90FDA" w:rsidRDefault="00B90FDA" w:rsidP="00B90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27D657" w14:textId="77777777" w:rsidR="00B90FDA" w:rsidRDefault="00B90FDA" w:rsidP="00B90FDA">
    <w:pPr>
      <w:tabs>
        <w:tab w:val="center" w:pos="4419"/>
        <w:tab w:val="left" w:pos="5352"/>
        <w:tab w:val="right" w:pos="8838"/>
      </w:tabs>
      <w:spacing w:after="100" w:afterAutospacing="1" w:line="276" w:lineRule="auto"/>
      <w:ind w:left="-567"/>
      <w:jc w:val="right"/>
      <w:rPr>
        <w:rFonts w:ascii="Tahoma" w:eastAsia="Calibri" w:hAnsi="Tahoma" w:cs="Tahoma"/>
        <w:color w:val="1F497D"/>
        <w:sz w:val="18"/>
        <w:szCs w:val="18"/>
        <w:lang w:val="es-NI"/>
      </w:rPr>
    </w:pPr>
    <w:r w:rsidRPr="00BC51C6">
      <w:rPr>
        <w:rFonts w:ascii="Tahoma" w:eastAsia="Calibri" w:hAnsi="Tahoma" w:cs="Tahoma"/>
        <w:b/>
        <w:bCs/>
        <w:color w:val="1F497D"/>
        <w:sz w:val="18"/>
        <w:szCs w:val="18"/>
        <w:lang w:val="es-MX"/>
      </w:rPr>
      <w:t xml:space="preserve">Servicio Informativo de Crea Comunicaciones </w:t>
    </w:r>
    <w:r>
      <w:rPr>
        <w:rFonts w:ascii="Tahoma" w:eastAsia="Calibri" w:hAnsi="Tahoma" w:cs="Tahoma"/>
        <w:color w:val="FF6600"/>
        <w:sz w:val="18"/>
        <w:szCs w:val="18"/>
        <w:lang w:val="es-NI"/>
      </w:rPr>
      <w:t>•</w:t>
    </w:r>
    <w:r>
      <w:rPr>
        <w:rFonts w:ascii="Tahoma" w:eastAsia="Calibri" w:hAnsi="Tahoma" w:cs="Tahoma"/>
        <w:b/>
        <w:bCs/>
        <w:color w:val="1F497D"/>
        <w:sz w:val="18"/>
        <w:szCs w:val="18"/>
        <w:lang w:val="es-MX"/>
      </w:rPr>
      <w:t xml:space="preserve"> Para cualquier consulta adicional, favor contactar a Mayela Rodríguez</w:t>
    </w:r>
    <w:r w:rsidRPr="00F33B3D">
      <w:rPr>
        <w:rFonts w:ascii="Tahoma" w:eastAsia="Calibri" w:hAnsi="Tahoma" w:cs="Tahoma"/>
        <w:bCs/>
        <w:color w:val="1F497D"/>
        <w:sz w:val="18"/>
        <w:szCs w:val="18"/>
        <w:lang w:val="es-MX"/>
      </w:rPr>
      <w:t xml:space="preserve"> </w:t>
    </w:r>
    <w:r>
      <w:rPr>
        <w:rFonts w:ascii="Tahoma" w:eastAsia="Calibri" w:hAnsi="Tahoma" w:cs="Tahoma"/>
        <w:color w:val="FF6600"/>
        <w:sz w:val="18"/>
        <w:szCs w:val="18"/>
        <w:lang w:val="es-NI"/>
      </w:rPr>
      <w:t>•</w:t>
    </w:r>
    <w:r>
      <w:rPr>
        <w:rFonts w:ascii="Tahoma" w:eastAsia="Calibri" w:hAnsi="Tahoma" w:cs="Tahoma"/>
        <w:color w:val="1F497D"/>
        <w:sz w:val="18"/>
        <w:szCs w:val="18"/>
        <w:lang w:val="es-NI"/>
      </w:rPr>
      <w:t xml:space="preserve"> T</w:t>
    </w:r>
    <w:r w:rsidRPr="00BC51C6">
      <w:rPr>
        <w:rFonts w:ascii="Tahoma" w:eastAsia="Calibri" w:hAnsi="Tahoma" w:cs="Tahoma"/>
        <w:color w:val="1F497D"/>
        <w:sz w:val="18"/>
        <w:szCs w:val="18"/>
        <w:lang w:val="es-NI"/>
      </w:rPr>
      <w:t xml:space="preserve">eléfono (505) 2270-1688 </w:t>
    </w:r>
    <w:r>
      <w:rPr>
        <w:rFonts w:ascii="Tahoma" w:eastAsia="Calibri" w:hAnsi="Tahoma" w:cs="Tahoma"/>
        <w:color w:val="FF6600"/>
        <w:sz w:val="18"/>
        <w:szCs w:val="18"/>
        <w:lang w:val="es-NI"/>
      </w:rPr>
      <w:t>•</w:t>
    </w:r>
    <w:r>
      <w:rPr>
        <w:rFonts w:ascii="Tahoma" w:eastAsia="Calibri" w:hAnsi="Tahoma" w:cs="Tahoma"/>
        <w:color w:val="1F497D"/>
        <w:sz w:val="18"/>
        <w:szCs w:val="18"/>
        <w:lang w:val="es-NI"/>
      </w:rPr>
      <w:t xml:space="preserve"> (</w:t>
    </w:r>
    <w:r w:rsidRPr="00BC51C6">
      <w:rPr>
        <w:rFonts w:ascii="Tahoma" w:eastAsia="Calibri" w:hAnsi="Tahoma" w:cs="Tahoma"/>
        <w:color w:val="1F497D"/>
        <w:sz w:val="18"/>
        <w:szCs w:val="18"/>
        <w:lang w:val="es-NI"/>
      </w:rPr>
      <w:t>505) 8</w:t>
    </w:r>
    <w:r>
      <w:rPr>
        <w:rFonts w:ascii="Tahoma" w:eastAsia="Calibri" w:hAnsi="Tahoma" w:cs="Tahoma"/>
        <w:color w:val="1F497D"/>
        <w:sz w:val="18"/>
        <w:szCs w:val="18"/>
        <w:lang w:val="es-NI"/>
      </w:rPr>
      <w:t>588</w:t>
    </w:r>
    <w:r w:rsidRPr="00BC51C6">
      <w:rPr>
        <w:rFonts w:ascii="Tahoma" w:eastAsia="Calibri" w:hAnsi="Tahoma" w:cs="Tahoma"/>
        <w:color w:val="1F497D"/>
        <w:sz w:val="18"/>
        <w:szCs w:val="18"/>
        <w:lang w:val="es-NI"/>
      </w:rPr>
      <w:t>-</w:t>
    </w:r>
    <w:r>
      <w:rPr>
        <w:rFonts w:ascii="Tahoma" w:eastAsia="Calibri" w:hAnsi="Tahoma" w:cs="Tahoma"/>
        <w:color w:val="1F497D"/>
        <w:sz w:val="18"/>
        <w:szCs w:val="18"/>
        <w:lang w:val="es-NI"/>
      </w:rPr>
      <w:t>3753</w:t>
    </w:r>
    <w:r w:rsidRPr="00BC51C6">
      <w:rPr>
        <w:rFonts w:ascii="Tahoma" w:eastAsia="Calibri" w:hAnsi="Tahoma" w:cs="Tahoma"/>
        <w:sz w:val="18"/>
        <w:szCs w:val="18"/>
        <w:lang w:val="es-NI"/>
      </w:rPr>
      <w:t xml:space="preserve"> </w:t>
    </w:r>
    <w:r>
      <w:rPr>
        <w:rFonts w:ascii="Tahoma" w:eastAsia="Calibri" w:hAnsi="Tahoma" w:cs="Tahoma"/>
        <w:color w:val="FF6600"/>
        <w:sz w:val="18"/>
        <w:szCs w:val="18"/>
        <w:lang w:val="es-NI"/>
      </w:rPr>
      <w:t>•</w:t>
    </w:r>
    <w:hyperlink r:id="rId1" w:history="1">
      <w:r w:rsidRPr="00B80A08">
        <w:rPr>
          <w:rStyle w:val="Hyperlink"/>
          <w:rFonts w:ascii="Tahoma" w:eastAsia="Calibri" w:hAnsi="Tahoma" w:cs="Tahoma"/>
          <w:sz w:val="18"/>
          <w:szCs w:val="18"/>
          <w:lang w:val="es-NI"/>
        </w:rPr>
        <w:t xml:space="preserve"> mrodriguez@creacomunicaciones.com</w:t>
      </w:r>
    </w:hyperlink>
  </w:p>
  <w:p w14:paraId="3956A44B" w14:textId="77777777" w:rsidR="00B90FDA" w:rsidRDefault="00B90FD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0EFD88" w14:textId="77777777" w:rsidR="00B90FDA" w:rsidRDefault="00B90FDA" w:rsidP="00B90FDA">
      <w:r>
        <w:separator/>
      </w:r>
    </w:p>
  </w:footnote>
  <w:footnote w:type="continuationSeparator" w:id="0">
    <w:p w14:paraId="64143D9D" w14:textId="77777777" w:rsidR="00B90FDA" w:rsidRDefault="00B90FDA" w:rsidP="00B90FD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77F905" w14:textId="77777777" w:rsidR="00B90FDA" w:rsidRDefault="00B90FDA">
    <w:pPr>
      <w:pStyle w:val="Header"/>
    </w:pPr>
    <w:r>
      <w:rPr>
        <w:noProof/>
      </w:rPr>
      <w:drawing>
        <wp:inline distT="0" distB="0" distL="0" distR="0" wp14:anchorId="09495A89" wp14:editId="5E22F2CA">
          <wp:extent cx="1311863" cy="469900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D-espgd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1863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</w:t>
    </w:r>
    <w:r>
      <w:rPr>
        <w:noProof/>
      </w:rPr>
      <w:drawing>
        <wp:inline distT="0" distB="0" distL="0" distR="0" wp14:anchorId="7DC911FC" wp14:editId="25C3F240">
          <wp:extent cx="1104900" cy="77449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rea-comunicaciones gd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5291" cy="7747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F0AC4"/>
    <w:multiLevelType w:val="multilevel"/>
    <w:tmpl w:val="84DA2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C531CE"/>
    <w:multiLevelType w:val="hybridMultilevel"/>
    <w:tmpl w:val="BFB4F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D41"/>
    <w:rsid w:val="00632A67"/>
    <w:rsid w:val="00793D41"/>
    <w:rsid w:val="00B90FDA"/>
    <w:rsid w:val="00D0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22D794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93D41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s-ES_tradnl"/>
    </w:rPr>
  </w:style>
  <w:style w:type="paragraph" w:styleId="Heading4">
    <w:name w:val="heading 4"/>
    <w:basedOn w:val="Normal"/>
    <w:link w:val="Heading4Char"/>
    <w:uiPriority w:val="9"/>
    <w:qFormat/>
    <w:rsid w:val="00793D41"/>
    <w:pPr>
      <w:spacing w:before="100" w:beforeAutospacing="1" w:after="100" w:afterAutospacing="1"/>
      <w:outlineLvl w:val="3"/>
    </w:pPr>
    <w:rPr>
      <w:rFonts w:ascii="Times" w:hAnsi="Times"/>
      <w:b/>
      <w:bCs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D41"/>
    <w:rPr>
      <w:rFonts w:ascii="Times" w:hAnsi="Times"/>
      <w:b/>
      <w:bCs/>
      <w:kern w:val="36"/>
      <w:sz w:val="48"/>
      <w:szCs w:val="48"/>
      <w:lang w:val="es-ES_tradnl"/>
    </w:rPr>
  </w:style>
  <w:style w:type="character" w:customStyle="1" w:styleId="Heading4Char">
    <w:name w:val="Heading 4 Char"/>
    <w:basedOn w:val="DefaultParagraphFont"/>
    <w:link w:val="Heading4"/>
    <w:uiPriority w:val="9"/>
    <w:rsid w:val="00793D41"/>
    <w:rPr>
      <w:rFonts w:ascii="Times" w:hAnsi="Times"/>
      <w:b/>
      <w:bCs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793D41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s-ES_tradnl"/>
    </w:rPr>
  </w:style>
  <w:style w:type="character" w:styleId="Strong">
    <w:name w:val="Strong"/>
    <w:basedOn w:val="DefaultParagraphFont"/>
    <w:uiPriority w:val="22"/>
    <w:qFormat/>
    <w:rsid w:val="00793D4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93D4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93D41"/>
  </w:style>
  <w:style w:type="paragraph" w:styleId="ListParagraph">
    <w:name w:val="List Paragraph"/>
    <w:basedOn w:val="Normal"/>
    <w:uiPriority w:val="34"/>
    <w:qFormat/>
    <w:rsid w:val="00793D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0FD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0FDA"/>
  </w:style>
  <w:style w:type="paragraph" w:styleId="Footer">
    <w:name w:val="footer"/>
    <w:basedOn w:val="Normal"/>
    <w:link w:val="FooterChar"/>
    <w:uiPriority w:val="99"/>
    <w:unhideWhenUsed/>
    <w:rsid w:val="00B90FD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0FDA"/>
  </w:style>
  <w:style w:type="paragraph" w:styleId="BalloonText">
    <w:name w:val="Balloon Text"/>
    <w:basedOn w:val="Normal"/>
    <w:link w:val="BalloonTextChar"/>
    <w:uiPriority w:val="99"/>
    <w:semiHidden/>
    <w:unhideWhenUsed/>
    <w:rsid w:val="00B90FD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FD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93D41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s-ES_tradnl"/>
    </w:rPr>
  </w:style>
  <w:style w:type="paragraph" w:styleId="Heading4">
    <w:name w:val="heading 4"/>
    <w:basedOn w:val="Normal"/>
    <w:link w:val="Heading4Char"/>
    <w:uiPriority w:val="9"/>
    <w:qFormat/>
    <w:rsid w:val="00793D41"/>
    <w:pPr>
      <w:spacing w:before="100" w:beforeAutospacing="1" w:after="100" w:afterAutospacing="1"/>
      <w:outlineLvl w:val="3"/>
    </w:pPr>
    <w:rPr>
      <w:rFonts w:ascii="Times" w:hAnsi="Times"/>
      <w:b/>
      <w:bCs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D41"/>
    <w:rPr>
      <w:rFonts w:ascii="Times" w:hAnsi="Times"/>
      <w:b/>
      <w:bCs/>
      <w:kern w:val="36"/>
      <w:sz w:val="48"/>
      <w:szCs w:val="48"/>
      <w:lang w:val="es-ES_tradnl"/>
    </w:rPr>
  </w:style>
  <w:style w:type="character" w:customStyle="1" w:styleId="Heading4Char">
    <w:name w:val="Heading 4 Char"/>
    <w:basedOn w:val="DefaultParagraphFont"/>
    <w:link w:val="Heading4"/>
    <w:uiPriority w:val="9"/>
    <w:rsid w:val="00793D41"/>
    <w:rPr>
      <w:rFonts w:ascii="Times" w:hAnsi="Times"/>
      <w:b/>
      <w:bCs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793D41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s-ES_tradnl"/>
    </w:rPr>
  </w:style>
  <w:style w:type="character" w:styleId="Strong">
    <w:name w:val="Strong"/>
    <w:basedOn w:val="DefaultParagraphFont"/>
    <w:uiPriority w:val="22"/>
    <w:qFormat/>
    <w:rsid w:val="00793D4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93D4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93D41"/>
  </w:style>
  <w:style w:type="paragraph" w:styleId="ListParagraph">
    <w:name w:val="List Paragraph"/>
    <w:basedOn w:val="Normal"/>
    <w:uiPriority w:val="34"/>
    <w:qFormat/>
    <w:rsid w:val="00793D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0FD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0FDA"/>
  </w:style>
  <w:style w:type="paragraph" w:styleId="Footer">
    <w:name w:val="footer"/>
    <w:basedOn w:val="Normal"/>
    <w:link w:val="FooterChar"/>
    <w:uiPriority w:val="99"/>
    <w:unhideWhenUsed/>
    <w:rsid w:val="00B90FD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0FDA"/>
  </w:style>
  <w:style w:type="paragraph" w:styleId="BalloonText">
    <w:name w:val="Balloon Text"/>
    <w:basedOn w:val="Normal"/>
    <w:link w:val="BalloonTextChar"/>
    <w:uiPriority w:val="99"/>
    <w:semiHidden/>
    <w:unhideWhenUsed/>
    <w:rsid w:val="00B90FD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FD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3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2911">
          <w:marLeft w:val="135"/>
          <w:marRight w:val="135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535">
          <w:marLeft w:val="135"/>
          <w:marRight w:val="1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iadb.org/gobernarte" TargetMode="External"/><Relationship Id="rId12" Type="http://schemas.openxmlformats.org/officeDocument/2006/relationships/hyperlink" Target="mailto:gobernarte@iadb.org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iadb.org/es/temas/gobierno/gobierno-e-instituciones,1553.html" TargetMode="External"/><Relationship Id="rId9" Type="http://schemas.openxmlformats.org/officeDocument/2006/relationships/hyperlink" Target="http://www.iadb.org/gobernarte" TargetMode="External"/><Relationship Id="rId10" Type="http://schemas.openxmlformats.org/officeDocument/2006/relationships/hyperlink" Target="http://www.iadb.org/gobernart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%20mrodriguez@creacomunicacion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469</Words>
  <Characters>2676</Characters>
  <Application>Microsoft Macintosh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2</cp:revision>
  <dcterms:created xsi:type="dcterms:W3CDTF">2014-07-22T17:53:00Z</dcterms:created>
  <dcterms:modified xsi:type="dcterms:W3CDTF">2014-07-22T18:03:00Z</dcterms:modified>
</cp:coreProperties>
</file>