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1C4" w:rsidRDefault="00AE21C4" w:rsidP="00C64A66">
      <w:pPr>
        <w:pStyle w:val="Title"/>
        <w:rPr>
          <w:b/>
          <w:sz w:val="48"/>
          <w:lang w:val="es-NI"/>
        </w:rPr>
      </w:pPr>
    </w:p>
    <w:p w:rsidR="00AE21C4" w:rsidRDefault="00AE21C4" w:rsidP="00AE21C4">
      <w:pPr>
        <w:jc w:val="center"/>
        <w:rPr>
          <w:b/>
          <w:sz w:val="28"/>
          <w:szCs w:val="28"/>
          <w:lang w:val="es-ES"/>
        </w:rPr>
      </w:pPr>
      <w:bookmarkStart w:id="0" w:name="_GoBack"/>
      <w:bookmarkEnd w:id="0"/>
      <w:r>
        <w:rPr>
          <w:b/>
          <w:sz w:val="28"/>
          <w:szCs w:val="28"/>
          <w:lang w:val="es-ES"/>
        </w:rPr>
        <w:t>COMUNICADO DE PRENSA</w:t>
      </w:r>
    </w:p>
    <w:p w:rsidR="00AE21C4" w:rsidRDefault="00AE21C4" w:rsidP="00BE0294">
      <w:pPr>
        <w:ind w:left="1440"/>
        <w:jc w:val="right"/>
        <w:rPr>
          <w:lang w:val="es-ES"/>
        </w:rPr>
      </w:pPr>
      <w:r>
        <w:rPr>
          <w:lang w:val="es-ES"/>
        </w:rPr>
        <w:t>24 de julio, 2014</w:t>
      </w:r>
    </w:p>
    <w:p w:rsidR="00E87389" w:rsidRPr="00A059A5" w:rsidRDefault="00C64A66" w:rsidP="00AE21C4">
      <w:pPr>
        <w:spacing w:after="0" w:line="240" w:lineRule="auto"/>
        <w:jc w:val="center"/>
        <w:rPr>
          <w:b/>
          <w:sz w:val="36"/>
          <w:szCs w:val="24"/>
          <w:lang w:val="es-ES"/>
        </w:rPr>
      </w:pPr>
      <w:r w:rsidRPr="00A059A5">
        <w:rPr>
          <w:b/>
          <w:sz w:val="36"/>
          <w:szCs w:val="24"/>
          <w:lang w:val="es-ES"/>
        </w:rPr>
        <w:t>CONAMI</w:t>
      </w:r>
      <w:r w:rsidR="00B77FD3" w:rsidRPr="00A059A5">
        <w:rPr>
          <w:b/>
          <w:sz w:val="36"/>
          <w:szCs w:val="24"/>
          <w:lang w:val="es-ES"/>
        </w:rPr>
        <w:t xml:space="preserve"> </w:t>
      </w:r>
      <w:r w:rsidR="00F446BF" w:rsidRPr="00A059A5">
        <w:rPr>
          <w:b/>
          <w:sz w:val="36"/>
          <w:szCs w:val="24"/>
          <w:lang w:val="es-ES"/>
        </w:rPr>
        <w:t xml:space="preserve">y BID </w:t>
      </w:r>
      <w:r w:rsidR="00B77FD3" w:rsidRPr="00A059A5">
        <w:rPr>
          <w:b/>
          <w:sz w:val="36"/>
          <w:szCs w:val="24"/>
          <w:lang w:val="es-ES"/>
        </w:rPr>
        <w:t>firma</w:t>
      </w:r>
      <w:r w:rsidR="00F446BF" w:rsidRPr="00A059A5">
        <w:rPr>
          <w:b/>
          <w:sz w:val="36"/>
          <w:szCs w:val="24"/>
          <w:lang w:val="es-ES"/>
        </w:rPr>
        <w:t>n</w:t>
      </w:r>
      <w:r w:rsidR="00B77FD3" w:rsidRPr="00A059A5">
        <w:rPr>
          <w:b/>
          <w:sz w:val="36"/>
          <w:szCs w:val="24"/>
          <w:lang w:val="es-ES"/>
        </w:rPr>
        <w:t xml:space="preserve"> convenio </w:t>
      </w:r>
      <w:r w:rsidR="00F446BF" w:rsidRPr="00A059A5">
        <w:rPr>
          <w:b/>
          <w:sz w:val="36"/>
          <w:szCs w:val="24"/>
          <w:lang w:val="es-ES"/>
        </w:rPr>
        <w:t xml:space="preserve">de cooperación </w:t>
      </w:r>
    </w:p>
    <w:p w:rsidR="00AE21C4" w:rsidRPr="00A059A5" w:rsidRDefault="00AE21C4">
      <w:pPr>
        <w:rPr>
          <w:sz w:val="24"/>
        </w:rPr>
      </w:pPr>
    </w:p>
    <w:p w:rsidR="00C64A66" w:rsidRPr="00A059A5" w:rsidRDefault="00761486" w:rsidP="00B77FD3">
      <w:pPr>
        <w:jc w:val="both"/>
        <w:rPr>
          <w:rFonts w:eastAsiaTheme="minorEastAsia"/>
          <w:sz w:val="24"/>
          <w:lang w:eastAsia="ja-JP"/>
        </w:rPr>
      </w:pPr>
      <w:r w:rsidRPr="004025AC">
        <w:rPr>
          <w:rFonts w:eastAsiaTheme="minorEastAsia"/>
          <w:b/>
          <w:sz w:val="24"/>
          <w:lang w:eastAsia="ja-JP"/>
        </w:rPr>
        <w:t>Managua, Nicaragua</w:t>
      </w:r>
      <w:r>
        <w:rPr>
          <w:rFonts w:eastAsiaTheme="minorEastAsia"/>
          <w:sz w:val="24"/>
          <w:lang w:eastAsia="ja-JP"/>
        </w:rPr>
        <w:t xml:space="preserve">- </w:t>
      </w:r>
      <w:r w:rsidR="00C64A66" w:rsidRPr="00A059A5">
        <w:rPr>
          <w:rFonts w:eastAsiaTheme="minorEastAsia"/>
          <w:sz w:val="24"/>
          <w:lang w:eastAsia="ja-JP"/>
        </w:rPr>
        <w:t>La</w:t>
      </w:r>
      <w:r w:rsidR="00B77FD3" w:rsidRPr="00A059A5">
        <w:rPr>
          <w:rFonts w:eastAsiaTheme="minorEastAsia"/>
          <w:sz w:val="24"/>
          <w:lang w:eastAsia="ja-JP"/>
        </w:rPr>
        <w:t xml:space="preserve"> Comisión Nacional d</w:t>
      </w:r>
      <w:r w:rsidR="0086624A" w:rsidRPr="00A059A5">
        <w:rPr>
          <w:rFonts w:eastAsiaTheme="minorEastAsia"/>
          <w:sz w:val="24"/>
          <w:lang w:eastAsia="ja-JP"/>
        </w:rPr>
        <w:t xml:space="preserve">e Microfinanzas (CONAMI) </w:t>
      </w:r>
      <w:r w:rsidR="00BE0294">
        <w:rPr>
          <w:rFonts w:eastAsiaTheme="minorEastAsia"/>
          <w:sz w:val="24"/>
          <w:lang w:eastAsia="ja-JP"/>
        </w:rPr>
        <w:t xml:space="preserve">suscribió </w:t>
      </w:r>
      <w:r w:rsidR="00B77FD3" w:rsidRPr="00A059A5">
        <w:rPr>
          <w:rFonts w:eastAsiaTheme="minorEastAsia"/>
          <w:sz w:val="24"/>
          <w:lang w:eastAsia="ja-JP"/>
        </w:rPr>
        <w:t xml:space="preserve">un convenio de cooperación </w:t>
      </w:r>
      <w:r w:rsidR="00A668F4" w:rsidRPr="00A059A5">
        <w:rPr>
          <w:rFonts w:eastAsiaTheme="minorEastAsia"/>
          <w:sz w:val="24"/>
          <w:lang w:eastAsia="ja-JP"/>
        </w:rPr>
        <w:t xml:space="preserve">técnica </w:t>
      </w:r>
      <w:r w:rsidR="00B77FD3" w:rsidRPr="00A059A5">
        <w:rPr>
          <w:rFonts w:eastAsiaTheme="minorEastAsia"/>
          <w:sz w:val="24"/>
          <w:lang w:eastAsia="ja-JP"/>
        </w:rPr>
        <w:t xml:space="preserve">con el Banco Interamericano de Desarrollo (BID) </w:t>
      </w:r>
      <w:r w:rsidR="00A668F4" w:rsidRPr="00A059A5">
        <w:rPr>
          <w:rFonts w:eastAsiaTheme="minorEastAsia"/>
          <w:sz w:val="24"/>
          <w:lang w:eastAsia="ja-JP"/>
        </w:rPr>
        <w:t xml:space="preserve">para </w:t>
      </w:r>
      <w:r w:rsidR="00B77FD3" w:rsidRPr="00A059A5">
        <w:rPr>
          <w:rFonts w:eastAsiaTheme="minorEastAsia"/>
          <w:sz w:val="24"/>
          <w:lang w:eastAsia="ja-JP"/>
        </w:rPr>
        <w:t>contribui</w:t>
      </w:r>
      <w:r w:rsidR="00C64A66" w:rsidRPr="00A059A5">
        <w:rPr>
          <w:rFonts w:eastAsiaTheme="minorEastAsia"/>
          <w:sz w:val="24"/>
          <w:lang w:eastAsia="ja-JP"/>
        </w:rPr>
        <w:t>r a la recuperación d</w:t>
      </w:r>
      <w:r w:rsidR="00B77FD3" w:rsidRPr="00A059A5">
        <w:rPr>
          <w:rFonts w:eastAsiaTheme="minorEastAsia"/>
          <w:sz w:val="24"/>
          <w:lang w:eastAsia="ja-JP"/>
        </w:rPr>
        <w:t xml:space="preserve">el sector de </w:t>
      </w:r>
      <w:r w:rsidR="00A668F4" w:rsidRPr="00A059A5">
        <w:rPr>
          <w:rFonts w:eastAsiaTheme="minorEastAsia"/>
          <w:sz w:val="24"/>
          <w:lang w:eastAsia="ja-JP"/>
        </w:rPr>
        <w:t>m</w:t>
      </w:r>
      <w:r w:rsidR="00B77FD3" w:rsidRPr="00A059A5">
        <w:rPr>
          <w:rFonts w:eastAsiaTheme="minorEastAsia"/>
          <w:sz w:val="24"/>
          <w:lang w:eastAsia="ja-JP"/>
        </w:rPr>
        <w:t>icrofinanzas en Nicaragu</w:t>
      </w:r>
      <w:r w:rsidR="00A668F4" w:rsidRPr="00A059A5">
        <w:rPr>
          <w:rFonts w:eastAsiaTheme="minorEastAsia"/>
          <w:sz w:val="24"/>
          <w:lang w:eastAsia="ja-JP"/>
        </w:rPr>
        <w:t>a</w:t>
      </w:r>
      <w:r w:rsidR="009D2DE1">
        <w:rPr>
          <w:rFonts w:eastAsiaTheme="minorEastAsia"/>
          <w:sz w:val="24"/>
          <w:lang w:eastAsia="ja-JP"/>
        </w:rPr>
        <w:t>.</w:t>
      </w:r>
    </w:p>
    <w:p w:rsidR="00B77FD3" w:rsidRPr="00A059A5" w:rsidRDefault="00C64A66" w:rsidP="00B77FD3">
      <w:pPr>
        <w:jc w:val="both"/>
        <w:rPr>
          <w:rFonts w:eastAsiaTheme="minorEastAsia"/>
          <w:sz w:val="24"/>
          <w:lang w:eastAsia="ja-JP"/>
        </w:rPr>
      </w:pPr>
      <w:r w:rsidRPr="00A059A5">
        <w:rPr>
          <w:rFonts w:eastAsiaTheme="minorEastAsia"/>
          <w:sz w:val="24"/>
          <w:lang w:eastAsia="ja-JP"/>
        </w:rPr>
        <w:t xml:space="preserve">Este programa de cooperación no reembolsable </w:t>
      </w:r>
      <w:r w:rsidR="00527FE5" w:rsidRPr="00A059A5">
        <w:rPr>
          <w:rFonts w:eastAsiaTheme="minorEastAsia"/>
          <w:sz w:val="24"/>
          <w:lang w:eastAsia="ja-JP"/>
        </w:rPr>
        <w:t>apoyará</w:t>
      </w:r>
      <w:r w:rsidR="00B77FD3" w:rsidRPr="00A059A5">
        <w:rPr>
          <w:rFonts w:eastAsiaTheme="minorEastAsia"/>
          <w:sz w:val="24"/>
          <w:lang w:eastAsia="ja-JP"/>
        </w:rPr>
        <w:t xml:space="preserve"> </w:t>
      </w:r>
      <w:r w:rsidR="00AC5570" w:rsidRPr="00A059A5">
        <w:rPr>
          <w:rFonts w:eastAsiaTheme="minorEastAsia"/>
          <w:sz w:val="24"/>
          <w:lang w:eastAsia="ja-JP"/>
        </w:rPr>
        <w:t xml:space="preserve">el </w:t>
      </w:r>
      <w:r w:rsidR="00B77FD3" w:rsidRPr="00A059A5">
        <w:rPr>
          <w:rFonts w:eastAsiaTheme="minorEastAsia"/>
          <w:sz w:val="24"/>
          <w:lang w:eastAsia="ja-JP"/>
        </w:rPr>
        <w:t>for</w:t>
      </w:r>
      <w:r w:rsidR="009D2DE1">
        <w:rPr>
          <w:rFonts w:eastAsiaTheme="minorEastAsia"/>
          <w:sz w:val="24"/>
          <w:lang w:eastAsia="ja-JP"/>
        </w:rPr>
        <w:t>talecimiento institucional de</w:t>
      </w:r>
      <w:r w:rsidR="00B77FD3" w:rsidRPr="00A059A5">
        <w:rPr>
          <w:rFonts w:eastAsiaTheme="minorEastAsia"/>
          <w:sz w:val="24"/>
          <w:lang w:eastAsia="ja-JP"/>
        </w:rPr>
        <w:t xml:space="preserve"> CONAMI en sus funciones de regul</w:t>
      </w:r>
      <w:r w:rsidR="006F4E7A">
        <w:rPr>
          <w:rFonts w:eastAsiaTheme="minorEastAsia"/>
          <w:sz w:val="24"/>
          <w:lang w:eastAsia="ja-JP"/>
        </w:rPr>
        <w:t xml:space="preserve">ación y supervisión al sector </w:t>
      </w:r>
      <w:r w:rsidR="00527FE5" w:rsidRPr="00A059A5">
        <w:rPr>
          <w:rFonts w:eastAsiaTheme="minorEastAsia"/>
          <w:sz w:val="24"/>
          <w:lang w:eastAsia="ja-JP"/>
        </w:rPr>
        <w:t>y apoyará</w:t>
      </w:r>
      <w:r w:rsidR="00B77FD3" w:rsidRPr="00A059A5">
        <w:rPr>
          <w:rFonts w:eastAsiaTheme="minorEastAsia"/>
          <w:sz w:val="24"/>
          <w:lang w:eastAsia="ja-JP"/>
        </w:rPr>
        <w:t xml:space="preserve"> </w:t>
      </w:r>
      <w:r w:rsidR="00AC5570" w:rsidRPr="00A059A5">
        <w:rPr>
          <w:rFonts w:eastAsiaTheme="minorEastAsia"/>
          <w:sz w:val="24"/>
          <w:lang w:eastAsia="ja-JP"/>
        </w:rPr>
        <w:t xml:space="preserve">a </w:t>
      </w:r>
      <w:r w:rsidR="00B77FD3" w:rsidRPr="00A059A5">
        <w:rPr>
          <w:rFonts w:eastAsiaTheme="minorEastAsia"/>
          <w:sz w:val="24"/>
          <w:lang w:eastAsia="ja-JP"/>
        </w:rPr>
        <w:t xml:space="preserve">las instituciones </w:t>
      </w:r>
      <w:r w:rsidR="00A668F4" w:rsidRPr="00A059A5">
        <w:rPr>
          <w:rFonts w:eastAsiaTheme="minorEastAsia"/>
          <w:sz w:val="24"/>
          <w:lang w:eastAsia="ja-JP"/>
        </w:rPr>
        <w:t>m</w:t>
      </w:r>
      <w:r w:rsidR="00B77FD3" w:rsidRPr="00A059A5">
        <w:rPr>
          <w:rFonts w:eastAsiaTheme="minorEastAsia"/>
          <w:sz w:val="24"/>
          <w:lang w:eastAsia="ja-JP"/>
        </w:rPr>
        <w:t xml:space="preserve">icrofinancieras </w:t>
      </w:r>
      <w:r w:rsidR="009D2DE1">
        <w:rPr>
          <w:rFonts w:eastAsiaTheme="minorEastAsia"/>
          <w:sz w:val="24"/>
          <w:lang w:eastAsia="ja-JP"/>
        </w:rPr>
        <w:t>en el cumplimiento de</w:t>
      </w:r>
      <w:r w:rsidR="00C856EB" w:rsidRPr="00A059A5">
        <w:rPr>
          <w:rFonts w:eastAsiaTheme="minorEastAsia"/>
          <w:sz w:val="24"/>
          <w:lang w:eastAsia="ja-JP"/>
        </w:rPr>
        <w:t xml:space="preserve"> </w:t>
      </w:r>
      <w:r w:rsidR="00761486">
        <w:rPr>
          <w:rFonts w:eastAsiaTheme="minorEastAsia"/>
          <w:sz w:val="24"/>
          <w:lang w:eastAsia="ja-JP"/>
        </w:rPr>
        <w:t>diferentes</w:t>
      </w:r>
      <w:r w:rsidR="009D2DE1">
        <w:rPr>
          <w:rFonts w:eastAsiaTheme="minorEastAsia"/>
          <w:sz w:val="24"/>
          <w:lang w:eastAsia="ja-JP"/>
        </w:rPr>
        <w:t xml:space="preserve"> </w:t>
      </w:r>
      <w:r w:rsidR="00B77FD3" w:rsidRPr="00A059A5">
        <w:rPr>
          <w:rFonts w:eastAsiaTheme="minorEastAsia"/>
          <w:sz w:val="24"/>
          <w:lang w:eastAsia="ja-JP"/>
        </w:rPr>
        <w:t>normativa</w:t>
      </w:r>
      <w:r w:rsidR="00761486">
        <w:rPr>
          <w:rFonts w:eastAsiaTheme="minorEastAsia"/>
          <w:sz w:val="24"/>
          <w:lang w:eastAsia="ja-JP"/>
        </w:rPr>
        <w:t>s</w:t>
      </w:r>
      <w:r w:rsidR="00B77FD3" w:rsidRPr="00A059A5">
        <w:rPr>
          <w:rFonts w:eastAsiaTheme="minorEastAsia"/>
          <w:sz w:val="24"/>
          <w:lang w:eastAsia="ja-JP"/>
        </w:rPr>
        <w:t xml:space="preserve"> emitida</w:t>
      </w:r>
      <w:r w:rsidR="00761486">
        <w:rPr>
          <w:rFonts w:eastAsiaTheme="minorEastAsia"/>
          <w:sz w:val="24"/>
          <w:lang w:eastAsia="ja-JP"/>
        </w:rPr>
        <w:t>s</w:t>
      </w:r>
      <w:r w:rsidR="00B77FD3" w:rsidRPr="00A059A5">
        <w:rPr>
          <w:rFonts w:eastAsiaTheme="minorEastAsia"/>
          <w:sz w:val="24"/>
          <w:lang w:eastAsia="ja-JP"/>
        </w:rPr>
        <w:t xml:space="preserve"> por el organismo regulador.</w:t>
      </w:r>
    </w:p>
    <w:p w:rsidR="004F0690" w:rsidRDefault="004F0690" w:rsidP="004F0690">
      <w:pPr>
        <w:jc w:val="both"/>
        <w:rPr>
          <w:rFonts w:eastAsiaTheme="minorEastAsia"/>
          <w:sz w:val="24"/>
          <w:lang w:val="es-ES_tradnl" w:eastAsia="ja-JP"/>
        </w:rPr>
      </w:pPr>
      <w:r>
        <w:rPr>
          <w:rFonts w:eastAsiaTheme="minorEastAsia"/>
          <w:sz w:val="24"/>
          <w:lang w:eastAsia="ja-JP"/>
        </w:rPr>
        <w:t xml:space="preserve">El sector de microfinanzas nicaragüense atiende a más de 250 mil clientes en municipios vulnerables de Nicaragua y desde finales del 2013 se encuentra recuperándose de la crisis del 2009. Esta </w:t>
      </w:r>
      <w:r w:rsidRPr="00A059A5">
        <w:rPr>
          <w:rFonts w:eastAsiaTheme="minorEastAsia"/>
          <w:sz w:val="24"/>
          <w:lang w:eastAsia="ja-JP"/>
        </w:rPr>
        <w:t xml:space="preserve">operación busca </w:t>
      </w:r>
      <w:r w:rsidRPr="00A059A5">
        <w:rPr>
          <w:rFonts w:eastAsiaTheme="minorEastAsia"/>
          <w:sz w:val="24"/>
          <w:lang w:val="es-ES_tradnl" w:eastAsia="ja-JP"/>
        </w:rPr>
        <w:t>restablecer la confianza de los acreedores externos y el mejoramiento de los indicadores de gestión y resultados de las instituciones de microfinanzas.</w:t>
      </w:r>
      <w:r>
        <w:rPr>
          <w:rFonts w:eastAsiaTheme="minorEastAsia"/>
          <w:sz w:val="24"/>
          <w:lang w:val="es-ES_tradnl" w:eastAsia="ja-JP"/>
        </w:rPr>
        <w:t xml:space="preserve"> Para ello, se </w:t>
      </w:r>
      <w:r w:rsidRPr="00173115">
        <w:rPr>
          <w:rFonts w:eastAsiaTheme="minorEastAsia"/>
          <w:sz w:val="24"/>
          <w:lang w:val="es-ES_tradnl" w:eastAsia="ja-JP"/>
        </w:rPr>
        <w:t>apoyar</w:t>
      </w:r>
      <w:r>
        <w:rPr>
          <w:rFonts w:eastAsiaTheme="minorEastAsia"/>
          <w:sz w:val="24"/>
          <w:lang w:val="es-ES_tradnl" w:eastAsia="ja-JP"/>
        </w:rPr>
        <w:t>á</w:t>
      </w:r>
      <w:r w:rsidRPr="00173115">
        <w:rPr>
          <w:rFonts w:eastAsiaTheme="minorEastAsia"/>
          <w:sz w:val="24"/>
          <w:lang w:val="es-ES_tradnl" w:eastAsia="ja-JP"/>
        </w:rPr>
        <w:t xml:space="preserve"> </w:t>
      </w:r>
      <w:r>
        <w:rPr>
          <w:rFonts w:eastAsiaTheme="minorEastAsia"/>
          <w:sz w:val="24"/>
          <w:lang w:val="es-ES_tradnl" w:eastAsia="ja-JP"/>
        </w:rPr>
        <w:t xml:space="preserve">también </w:t>
      </w:r>
      <w:r w:rsidRPr="00173115">
        <w:rPr>
          <w:rFonts w:eastAsiaTheme="minorEastAsia"/>
          <w:sz w:val="24"/>
          <w:lang w:val="es-ES_tradnl" w:eastAsia="ja-JP"/>
        </w:rPr>
        <w:t>a la industria en el cumplimiento de la normativa prudencial en mat</w:t>
      </w:r>
      <w:r>
        <w:rPr>
          <w:rFonts w:eastAsiaTheme="minorEastAsia"/>
          <w:sz w:val="24"/>
          <w:lang w:val="es-ES_tradnl" w:eastAsia="ja-JP"/>
        </w:rPr>
        <w:t>eria de: gobierno corporativo, atención al usuario y manual único de c</w:t>
      </w:r>
      <w:r w:rsidRPr="00173115">
        <w:rPr>
          <w:rFonts w:eastAsiaTheme="minorEastAsia"/>
          <w:sz w:val="24"/>
          <w:lang w:val="es-ES_tradnl" w:eastAsia="ja-JP"/>
        </w:rPr>
        <w:t>uentas.</w:t>
      </w:r>
    </w:p>
    <w:p w:rsidR="004025AC" w:rsidRDefault="004025AC" w:rsidP="004025AC">
      <w:pPr>
        <w:jc w:val="both"/>
        <w:rPr>
          <w:rFonts w:eastAsiaTheme="minorEastAsia"/>
          <w:sz w:val="24"/>
          <w:lang w:val="es-ES_tradnl" w:eastAsia="ja-JP"/>
        </w:rPr>
      </w:pPr>
      <w:r w:rsidRPr="009D2DE1">
        <w:rPr>
          <w:rFonts w:eastAsiaTheme="minorEastAsia"/>
          <w:sz w:val="24"/>
          <w:lang w:val="es-ES_tradnl" w:eastAsia="ja-JP"/>
        </w:rPr>
        <w:t>“Nosotros hemos venido apoyando este esfuerzo mediante operaciones que permitan alcanzar la estabilidad y el fortalecimiento que la industria necesita para beneficiar a aquellos sectores que no tienen acceso a la banca comercial”, dijo Carlos Melo, representante del BID en Nicaragua.</w:t>
      </w:r>
    </w:p>
    <w:p w:rsidR="004F0690" w:rsidRPr="004F0690" w:rsidRDefault="004F0690" w:rsidP="004025AC">
      <w:pPr>
        <w:jc w:val="both"/>
        <w:rPr>
          <w:rFonts w:eastAsiaTheme="minorEastAsia"/>
          <w:sz w:val="24"/>
          <w:lang w:eastAsia="ja-JP"/>
        </w:rPr>
      </w:pPr>
      <w:r>
        <w:rPr>
          <w:rFonts w:eastAsiaTheme="minorEastAsia"/>
          <w:sz w:val="24"/>
          <w:lang w:eastAsia="ja-JP"/>
        </w:rPr>
        <w:t xml:space="preserve">Por su parte, Jim Madriz, presidenta ejecutiva de la CONAMI señaló que “esta operación forma parte de un arduo proceso que estamos llevando a cabo </w:t>
      </w:r>
      <w:r w:rsidRPr="004F0690">
        <w:rPr>
          <w:rFonts w:eastAsiaTheme="minorEastAsia"/>
          <w:sz w:val="24"/>
          <w:lang w:eastAsia="ja-JP"/>
        </w:rPr>
        <w:t>para lograr consolidar a la Industria de Microfinanzas y la inclusión financiera de los sectores de bajos ingresos de la sociedad nicaragüense</w:t>
      </w:r>
      <w:r w:rsidR="008F4195">
        <w:rPr>
          <w:rFonts w:eastAsiaTheme="minorEastAsia"/>
          <w:sz w:val="24"/>
          <w:lang w:eastAsia="ja-JP"/>
        </w:rPr>
        <w:t>”</w:t>
      </w:r>
      <w:r w:rsidRPr="004F0690">
        <w:rPr>
          <w:rFonts w:eastAsiaTheme="minorEastAsia"/>
          <w:sz w:val="24"/>
          <w:lang w:eastAsia="ja-JP"/>
        </w:rPr>
        <w:t>.</w:t>
      </w:r>
    </w:p>
    <w:p w:rsidR="00C64A66" w:rsidRPr="00A059A5" w:rsidRDefault="00C64A66" w:rsidP="00B77FD3">
      <w:pPr>
        <w:jc w:val="both"/>
        <w:rPr>
          <w:rFonts w:eastAsiaTheme="minorEastAsia"/>
          <w:sz w:val="24"/>
          <w:lang w:eastAsia="ja-JP"/>
        </w:rPr>
      </w:pPr>
      <w:r w:rsidRPr="00A059A5">
        <w:rPr>
          <w:rFonts w:eastAsiaTheme="minorEastAsia"/>
          <w:sz w:val="24"/>
          <w:lang w:eastAsia="ja-JP"/>
        </w:rPr>
        <w:t>Desde su constitución en julio del 2012, la CONAMI ha contado con el apoyo del BID, en la elaboración de normativa, capacitaciones, diagnósticos sobre la industria, entre otros.</w:t>
      </w:r>
      <w:r w:rsidR="00761486">
        <w:rPr>
          <w:rFonts w:eastAsiaTheme="minorEastAsia"/>
          <w:sz w:val="24"/>
          <w:lang w:eastAsia="ja-JP"/>
        </w:rPr>
        <w:t xml:space="preserve"> En 2013, la CONAMI promulgó los primeros reglamentos vinculados con gobierno corporativo, transparencia de la información y protección al usuario para lograr una mayor estabilidad de la industria de microfinanzas. </w:t>
      </w:r>
    </w:p>
    <w:sectPr w:rsidR="00C64A66" w:rsidRPr="00A059A5" w:rsidSect="004F0690">
      <w:headerReference w:type="defaul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68" w:rsidRDefault="00CF4368" w:rsidP="00AE21C4">
      <w:pPr>
        <w:spacing w:after="0" w:line="240" w:lineRule="auto"/>
      </w:pPr>
      <w:r>
        <w:separator/>
      </w:r>
    </w:p>
  </w:endnote>
  <w:endnote w:type="continuationSeparator" w:id="0">
    <w:p w:rsidR="00CF4368" w:rsidRDefault="00CF4368" w:rsidP="00AE2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68" w:rsidRDefault="00CF4368" w:rsidP="00AE21C4">
      <w:pPr>
        <w:spacing w:after="0" w:line="240" w:lineRule="auto"/>
      </w:pPr>
      <w:r>
        <w:separator/>
      </w:r>
    </w:p>
  </w:footnote>
  <w:footnote w:type="continuationSeparator" w:id="0">
    <w:p w:rsidR="00CF4368" w:rsidRDefault="00CF4368" w:rsidP="00AE2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1C4" w:rsidRDefault="004D064E">
    <w:pPr>
      <w:pStyle w:val="Header"/>
    </w:pPr>
    <w:r>
      <w:rPr>
        <w:rFonts w:ascii="Times New Roman" w:eastAsia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43CA955D" wp14:editId="4DD0EBD3">
          <wp:simplePos x="0" y="0"/>
          <wp:positionH relativeFrom="column">
            <wp:posOffset>-394335</wp:posOffset>
          </wp:positionH>
          <wp:positionV relativeFrom="paragraph">
            <wp:posOffset>-78105</wp:posOffset>
          </wp:positionV>
          <wp:extent cx="3562350" cy="706120"/>
          <wp:effectExtent l="0" t="0" r="0" b="0"/>
          <wp:wrapSquare wrapText="bothSides"/>
          <wp:docPr id="3" name="Picture 3" descr="cid:91CC7724-450F-417D-B012-050F0D7BEC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1CC7724-450F-417D-B012-050F0D7BEC22" descr="cid:91CC7724-450F-417D-B012-050F0D7BEC2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4195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B4EBD10" wp14:editId="36B7C9EF">
          <wp:simplePos x="0" y="0"/>
          <wp:positionH relativeFrom="column">
            <wp:posOffset>4834890</wp:posOffset>
          </wp:positionH>
          <wp:positionV relativeFrom="paragraph">
            <wp:posOffset>7620</wp:posOffset>
          </wp:positionV>
          <wp:extent cx="1304925" cy="462915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62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F70B5"/>
    <w:multiLevelType w:val="hybridMultilevel"/>
    <w:tmpl w:val="58CE5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FD3"/>
    <w:rsid w:val="00173115"/>
    <w:rsid w:val="001E195D"/>
    <w:rsid w:val="00372EAC"/>
    <w:rsid w:val="004025AC"/>
    <w:rsid w:val="00431A7A"/>
    <w:rsid w:val="004D064E"/>
    <w:rsid w:val="004F0690"/>
    <w:rsid w:val="00527FE5"/>
    <w:rsid w:val="006F4E7A"/>
    <w:rsid w:val="00761486"/>
    <w:rsid w:val="0086624A"/>
    <w:rsid w:val="008F4195"/>
    <w:rsid w:val="009D2DE1"/>
    <w:rsid w:val="00A059A5"/>
    <w:rsid w:val="00A668F4"/>
    <w:rsid w:val="00AC5570"/>
    <w:rsid w:val="00AE21C4"/>
    <w:rsid w:val="00B77FD3"/>
    <w:rsid w:val="00BE0294"/>
    <w:rsid w:val="00C64A66"/>
    <w:rsid w:val="00C856EB"/>
    <w:rsid w:val="00CF4368"/>
    <w:rsid w:val="00D762F9"/>
    <w:rsid w:val="00DE496A"/>
    <w:rsid w:val="00E87389"/>
    <w:rsid w:val="00F446BF"/>
    <w:rsid w:val="00FC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C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4A6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64A66"/>
    <w:rPr>
      <w:rFonts w:asciiTheme="majorHAnsi" w:eastAsiaTheme="majorEastAsia" w:hAnsiTheme="majorHAnsi" w:cstheme="majorBidi"/>
      <w:color w:val="000000" w:themeColor="text1"/>
      <w:sz w:val="56"/>
      <w:szCs w:val="56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6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2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1C4"/>
  </w:style>
  <w:style w:type="paragraph" w:styleId="Footer">
    <w:name w:val="footer"/>
    <w:basedOn w:val="Normal"/>
    <w:link w:val="FooterChar"/>
    <w:uiPriority w:val="99"/>
    <w:unhideWhenUsed/>
    <w:rsid w:val="00AE2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1C4"/>
  </w:style>
  <w:style w:type="character" w:customStyle="1" w:styleId="Heading1Char">
    <w:name w:val="Heading 1 Char"/>
    <w:basedOn w:val="DefaultParagraphFont"/>
    <w:link w:val="Heading1"/>
    <w:uiPriority w:val="9"/>
    <w:rsid w:val="00AE21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C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4A66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C64A66"/>
    <w:rPr>
      <w:rFonts w:asciiTheme="majorHAnsi" w:eastAsiaTheme="majorEastAsia" w:hAnsiTheme="majorHAnsi" w:cstheme="majorBidi"/>
      <w:color w:val="000000" w:themeColor="text1"/>
      <w:sz w:val="56"/>
      <w:szCs w:val="56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6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2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1C4"/>
  </w:style>
  <w:style w:type="paragraph" w:styleId="Footer">
    <w:name w:val="footer"/>
    <w:basedOn w:val="Normal"/>
    <w:link w:val="FooterChar"/>
    <w:uiPriority w:val="99"/>
    <w:unhideWhenUsed/>
    <w:rsid w:val="00AE2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1C4"/>
  </w:style>
  <w:style w:type="character" w:customStyle="1" w:styleId="Heading1Char">
    <w:name w:val="Heading 1 Char"/>
    <w:basedOn w:val="DefaultParagraphFont"/>
    <w:link w:val="Heading1"/>
    <w:uiPriority w:val="9"/>
    <w:rsid w:val="00AE21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7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91CC7724-450F-417D-B012-050F0D7BEC2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03992-1501-44B4-B14E-832A94E1A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314</Words>
  <Characters>1793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Perez Calero</dc:creator>
  <cp:lastModifiedBy>Test</cp:lastModifiedBy>
  <cp:revision>2</cp:revision>
  <cp:lastPrinted>2014-07-24T21:49:00Z</cp:lastPrinted>
  <dcterms:created xsi:type="dcterms:W3CDTF">2014-07-24T23:04:00Z</dcterms:created>
  <dcterms:modified xsi:type="dcterms:W3CDTF">2014-07-24T23:04:00Z</dcterms:modified>
</cp:coreProperties>
</file>